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046"/>
        <w:gridCol w:w="737"/>
        <w:gridCol w:w="1106"/>
        <w:gridCol w:w="1419"/>
        <w:gridCol w:w="1274"/>
      </w:tblGrid>
      <w:tr w:rsidR="009C5975" w:rsidRPr="00AC3573" w:rsidTr="009C5975">
        <w:trPr>
          <w:trHeight w:val="447"/>
          <w:jc w:val="center"/>
        </w:trPr>
        <w:tc>
          <w:tcPr>
            <w:tcW w:w="310" w:type="pct"/>
            <w:tcMar>
              <w:left w:w="0" w:type="dxa"/>
              <w:right w:w="0" w:type="dxa"/>
            </w:tcMar>
            <w:vAlign w:val="center"/>
          </w:tcPr>
          <w:p w:rsidR="009C5975" w:rsidRPr="00AC3573" w:rsidRDefault="009C5975" w:rsidP="000A7F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C3573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1884" w:type="pct"/>
            <w:tcMar>
              <w:left w:w="0" w:type="dxa"/>
              <w:right w:w="0" w:type="dxa"/>
            </w:tcMar>
            <w:vAlign w:val="center"/>
          </w:tcPr>
          <w:p w:rsidR="009C5975" w:rsidRPr="00AC3573" w:rsidRDefault="009C5975" w:rsidP="000A7F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C3573">
              <w:rPr>
                <w:rFonts w:ascii="Times New Roman" w:eastAsia="黑体" w:hAnsi="Times New Roman" w:cs="Times New Roman"/>
                <w:b/>
                <w:szCs w:val="21"/>
              </w:rPr>
              <w:t>课题名称</w:t>
            </w:r>
          </w:p>
        </w:tc>
        <w:tc>
          <w:tcPr>
            <w:tcW w:w="456" w:type="pct"/>
            <w:tcMar>
              <w:left w:w="0" w:type="dxa"/>
              <w:right w:w="0" w:type="dxa"/>
            </w:tcMar>
            <w:vAlign w:val="center"/>
          </w:tcPr>
          <w:p w:rsidR="009C5975" w:rsidRDefault="009C5975" w:rsidP="000A7F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/>
                <w:szCs w:val="21"/>
              </w:rPr>
            </w:pPr>
            <w:r w:rsidRPr="00AC3573">
              <w:rPr>
                <w:rFonts w:ascii="Times New Roman" w:eastAsia="黑体" w:hAnsi="Times New Roman" w:cs="Times New Roman"/>
                <w:b/>
                <w:szCs w:val="21"/>
              </w:rPr>
              <w:t>经费</w:t>
            </w:r>
          </w:p>
          <w:p w:rsidR="009C5975" w:rsidRPr="00AC3573" w:rsidRDefault="009C5975" w:rsidP="000A7F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C3573">
              <w:rPr>
                <w:rFonts w:ascii="Times New Roman" w:eastAsia="黑体" w:hAnsi="Times New Roman" w:cs="Times New Roman"/>
                <w:b/>
                <w:szCs w:val="21"/>
              </w:rPr>
              <w:t>额度</w:t>
            </w:r>
          </w:p>
        </w:tc>
        <w:tc>
          <w:tcPr>
            <w:tcW w:w="684" w:type="pct"/>
            <w:tcMar>
              <w:left w:w="0" w:type="dxa"/>
              <w:right w:w="0" w:type="dxa"/>
            </w:tcMar>
            <w:vAlign w:val="center"/>
          </w:tcPr>
          <w:p w:rsidR="009C5975" w:rsidRPr="00AC3573" w:rsidRDefault="009C5975" w:rsidP="000A7F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C3573">
              <w:rPr>
                <w:rFonts w:ascii="Times New Roman" w:eastAsia="黑体" w:hAnsi="Times New Roman" w:cs="Times New Roman"/>
                <w:b/>
                <w:szCs w:val="21"/>
              </w:rPr>
              <w:t>承担人</w:t>
            </w:r>
          </w:p>
        </w:tc>
        <w:tc>
          <w:tcPr>
            <w:tcW w:w="878" w:type="pct"/>
            <w:tcMar>
              <w:left w:w="0" w:type="dxa"/>
              <w:right w:w="0" w:type="dxa"/>
            </w:tcMar>
            <w:vAlign w:val="center"/>
          </w:tcPr>
          <w:p w:rsidR="009C5975" w:rsidRPr="00AC3573" w:rsidRDefault="009C5975" w:rsidP="000A7F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C3573">
              <w:rPr>
                <w:rFonts w:ascii="Times New Roman" w:eastAsia="黑体" w:hAnsi="Times New Roman" w:cs="Times New Roman"/>
                <w:b/>
                <w:szCs w:val="21"/>
              </w:rPr>
              <w:t>承担人单位</w:t>
            </w:r>
          </w:p>
        </w:tc>
        <w:tc>
          <w:tcPr>
            <w:tcW w:w="788" w:type="pct"/>
            <w:tcMar>
              <w:left w:w="0" w:type="dxa"/>
              <w:right w:w="0" w:type="dxa"/>
            </w:tcMar>
            <w:vAlign w:val="center"/>
          </w:tcPr>
          <w:p w:rsidR="009C5975" w:rsidRPr="00AC3573" w:rsidRDefault="009C5975" w:rsidP="000A7F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C3573">
              <w:rPr>
                <w:rFonts w:ascii="Times New Roman" w:eastAsia="黑体" w:hAnsi="Times New Roman" w:cs="Times New Roman"/>
                <w:b/>
                <w:szCs w:val="21"/>
              </w:rPr>
              <w:t>设置年度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高台阶深孔抛掷爆破参数优化及效果控制研究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马力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2017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内排条件下露天矿长远排土规划模型研究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肖双双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2017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煤矿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冲击矿压动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静载作用机制的数值模拟研究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朱广安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2017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煤基裂隙介质强度劣化机制的微细观可视化实验研究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单</w:t>
            </w:r>
            <w:bookmarkStart w:id="0" w:name="_GoBack"/>
            <w:bookmarkEnd w:id="0"/>
            <w:r w:rsidRPr="00146A0B">
              <w:rPr>
                <w:rFonts w:ascii="楷体_GB2312" w:eastAsia="楷体_GB2312" w:hint="eastAsia"/>
                <w:sz w:val="20"/>
                <w:szCs w:val="20"/>
              </w:rPr>
              <w:t>鹏飞</w:t>
            </w:r>
            <w:proofErr w:type="gramEnd"/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2016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5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深部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窄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煤柱巷道非均匀变形破坏机理及其控制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李季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2016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6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浅埋近距离煤层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开采覆岩及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地表裂隙控制技术研究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杜君武</w:t>
            </w:r>
            <w:proofErr w:type="gramEnd"/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2016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7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大数据时代数字矿山构建过程中矿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压数据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挖掘模型研究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唐仁龙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2016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8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大倾角大采高工作面煤壁片帮特征及机理基础性研究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张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2016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9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陕北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侏罗纪煤氧化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反应的热动力学基础研究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王凯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2015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10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浅埋大采高工作面节理煤壁失稳机理及控制对策研究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郭卫彬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2015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11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采动覆岩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“三带”高度演化分布式光纤监测及表征实验研究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张丁丁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2015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12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煤自燃指标气体实时动态测试装置及测试方法研究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王亚超</w:t>
            </w:r>
            <w:proofErr w:type="gramEnd"/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2015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13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走向长壁工作面采空区边界楔形体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充填覆岩控制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基础研究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张艳丽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2015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14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深部大断面巷道失稳力学机制与稳定性控制研究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李磊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2015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15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新型“固-气”耦合物理相似模拟材料特性影响因素研究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赵鹏翔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2015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16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基于孔隙尺度的颗粒煤体内瓦斯吸附解吸过程热力学特性研究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严敏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2015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17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高校科研团队中的学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缘结构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合理性评价与对策研究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窦娟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2015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18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预抽瓦斯钻孔新型密封材料与加固动态密封技术研究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张超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19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薄隔水层底板灰岩高压劈裂注浆微震影响机理研究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刘超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20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覆岩采动裂隙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中卸压瓦斯运移规律与高位钻孔布置研究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魏宗勇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21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促进高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变质煤氧化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自燃的热动力学导因基础研究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王彩萍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侏罗纪煤自燃热反应模型研究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张</w:t>
            </w:r>
            <w:proofErr w:type="gramStart"/>
            <w:r w:rsidRPr="00146A0B">
              <w:rPr>
                <w:rFonts w:ascii="宋体" w:eastAsia="宋体" w:hAnsi="宋体" w:cs="宋体" w:hint="eastAsia"/>
                <w:sz w:val="20"/>
                <w:szCs w:val="20"/>
              </w:rPr>
              <w:t>嬿</w:t>
            </w:r>
            <w:proofErr w:type="gramEnd"/>
            <w:r w:rsidRPr="00146A0B">
              <w:rPr>
                <w:rFonts w:ascii="楷体_GB2312" w:eastAsia="楷体_GB2312" w:hAnsi="楷体_GB2312" w:cs="楷体_GB2312" w:hint="eastAsia"/>
                <w:sz w:val="20"/>
                <w:szCs w:val="20"/>
              </w:rPr>
              <w:t>妮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23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含瓦斯煤解吸过程热力学特性研究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刘纪坤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24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煤自燃多组分指标体系TDLA痕量检测技术研究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王伟峰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25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面向三类危险源的瓦斯爆炸事故机理与预警研究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王莉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26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煤矿工人不安全行为形成机理及组合干预研究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李磊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27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深部开采煤体变形破裂与瓦斯解吸渗流耦合动力学机理研究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林海飞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28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稀土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层状双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氢氧化物的煤自燃防控机理研究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刘博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29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覆岩破断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裂隙演化与瓦斯运移特性动力学研究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肖鹏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30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基于水滑石的新型煤自燃抑制剂及其特性研究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李亚清</w:t>
            </w:r>
            <w:proofErr w:type="gramEnd"/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31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深部煤层水力压裂煤体裂隙演化及瓦斯渗流动力学影响机理研究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徐刚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32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高温井深相变降温充填体基础理论研究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刘浪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33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近浅埋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煤层双关键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层顶板动态结构及围岩控制研究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张沛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34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大倾角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煤层长壁开采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非对称大尺度采场围岩空间结构及其稳定性研究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解盘石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35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大倾角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煤层长壁膏体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充填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采场覆岩移动与矿压显现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规律研究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吕文玉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36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基于实测数据的矿井瓦斯浓度自适应预测预警方法研究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董丁稳</w:t>
            </w:r>
            <w:proofErr w:type="gramEnd"/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37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温度-变载荷作用下层状盐岩破坏机理及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损伤本构模型</w:t>
            </w:r>
            <w:proofErr w:type="gramEnd"/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邱华富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38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基于细观结构的煤（岩）体三轴抗压强度快速评价模型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丁自伟</w:t>
            </w:r>
            <w:proofErr w:type="gramEnd"/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39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井下乳化炸药现场静态混合技术研究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孙伟博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40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复杂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条件下煤岩体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耦合致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裂基础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崔峰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41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近距复合煤组开采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活化覆岩致灾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机理研究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曹建涛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42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大倾角煤层局部充填开采围岩“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关健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域”形成及结构稳定性研究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王红伟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43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矿井季节性热害预测与降温方法</w:t>
            </w:r>
            <w:r w:rsidRPr="00146A0B">
              <w:rPr>
                <w:rFonts w:ascii="楷体_GB2312" w:eastAsia="楷体_GB2312" w:hint="eastAsia"/>
                <w:sz w:val="20"/>
                <w:szCs w:val="20"/>
              </w:rPr>
              <w:lastRenderedPageBreak/>
              <w:t>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易欣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瓦斯煤尘共存爆炸的火焰传播机理与自由基辐射特性研究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王秋红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45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复合型煤岩瓦斯动力灾害发生定量条件及力学作用机理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董国伟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46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深部开采地表沉陷范围的控制及其机理研究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王燕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47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采动煤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岩体裂隙渗流特性多尺度表征方法研究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高喜才</w:t>
            </w:r>
            <w:proofErr w:type="gramEnd"/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能源学院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48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煤自燃多参数判定准则及预警方法研究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费金彪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49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抑爆剂对瓦斯引爆过程影响特征与作用机理研究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程方明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  <w:tr w:rsidR="009C5975" w:rsidRPr="00146A0B" w:rsidTr="009C5975">
        <w:trPr>
          <w:jc w:val="center"/>
        </w:trPr>
        <w:tc>
          <w:tcPr>
            <w:tcW w:w="310" w:type="pct"/>
            <w:vAlign w:val="center"/>
          </w:tcPr>
          <w:p w:rsidR="009C5975" w:rsidRPr="00146A0B" w:rsidRDefault="009C5975" w:rsidP="000A7F35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 w:rsidRPr="00146A0B">
              <w:rPr>
                <w:rFonts w:ascii="楷体_GB2312" w:eastAsia="楷体_GB2312" w:hAnsi="Calibri" w:cs="Calibri" w:hint="eastAsia"/>
                <w:sz w:val="24"/>
                <w:szCs w:val="24"/>
              </w:rPr>
              <w:t>50</w:t>
            </w:r>
          </w:p>
        </w:tc>
        <w:tc>
          <w:tcPr>
            <w:tcW w:w="18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神东矿区易自燃煤</w:t>
            </w:r>
            <w:proofErr w:type="gramStart"/>
            <w:r w:rsidRPr="00146A0B">
              <w:rPr>
                <w:rFonts w:ascii="楷体_GB2312" w:eastAsia="楷体_GB2312" w:hint="eastAsia"/>
                <w:sz w:val="20"/>
                <w:szCs w:val="20"/>
              </w:rPr>
              <w:t>高温贫氧复燃</w:t>
            </w:r>
            <w:proofErr w:type="gramEnd"/>
            <w:r w:rsidRPr="00146A0B">
              <w:rPr>
                <w:rFonts w:ascii="楷体_GB2312" w:eastAsia="楷体_GB2312" w:hint="eastAsia"/>
                <w:sz w:val="20"/>
                <w:szCs w:val="20"/>
              </w:rPr>
              <w:t>机理及动力学特性研究</w:t>
            </w:r>
          </w:p>
        </w:tc>
        <w:tc>
          <w:tcPr>
            <w:tcW w:w="456" w:type="pct"/>
            <w:vAlign w:val="center"/>
          </w:tcPr>
          <w:p w:rsidR="009C5975" w:rsidRPr="00146A0B" w:rsidRDefault="009C5975" w:rsidP="0017208F">
            <w:pPr>
              <w:adjustRightInd w:val="0"/>
              <w:snapToGrid w:val="0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刘文永</w:t>
            </w:r>
          </w:p>
        </w:tc>
        <w:tc>
          <w:tcPr>
            <w:tcW w:w="87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安全学院</w:t>
            </w:r>
          </w:p>
        </w:tc>
        <w:tc>
          <w:tcPr>
            <w:tcW w:w="788" w:type="pct"/>
            <w:vAlign w:val="center"/>
          </w:tcPr>
          <w:p w:rsidR="009C5975" w:rsidRPr="00146A0B" w:rsidRDefault="009C5975" w:rsidP="0017208F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146A0B">
              <w:rPr>
                <w:rFonts w:ascii="楷体_GB2312" w:eastAsia="楷体_GB2312" w:hint="eastAsia"/>
                <w:sz w:val="20"/>
                <w:szCs w:val="20"/>
              </w:rPr>
              <w:t>2014</w:t>
            </w:r>
          </w:p>
        </w:tc>
      </w:tr>
    </w:tbl>
    <w:p w:rsidR="000F7179" w:rsidRDefault="000F7179"/>
    <w:sectPr w:rsidR="000F7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75"/>
    <w:rsid w:val="000F7179"/>
    <w:rsid w:val="009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2018-10-31T04:33:00Z</dcterms:created>
  <dcterms:modified xsi:type="dcterms:W3CDTF">2018-10-31T04:37:00Z</dcterms:modified>
</cp:coreProperties>
</file>